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4F" w:rsidRDefault="00C87773" w:rsidP="00C87773">
      <w:pPr>
        <w:pBdr>
          <w:bottom w:val="single" w:sz="4" w:space="1" w:color="auto"/>
        </w:pBdr>
        <w:spacing w:after="0" w:line="255" w:lineRule="atLeast"/>
        <w:jc w:val="center"/>
        <w:textAlignment w:val="baseline"/>
        <w:rPr>
          <w:rFonts w:ascii="Arial" w:eastAsia="Times New Roman" w:hAnsi="Arial" w:cs="Arial"/>
          <w:b/>
          <w:color w:val="151515"/>
          <w:sz w:val="24"/>
          <w:szCs w:val="18"/>
        </w:rPr>
      </w:pPr>
      <w:r>
        <w:rPr>
          <w:b/>
          <w:sz w:val="24"/>
        </w:rPr>
        <w:t>Poliklinika Veľké Kapušany n. o., 31257917, Veľké Kapušany 07901, Ul. Zoltána Fábryho 20</w:t>
      </w:r>
    </w:p>
    <w:p w:rsidR="00EA7C4F" w:rsidRDefault="0032495B" w:rsidP="0032495B">
      <w:pPr>
        <w:spacing w:after="0" w:line="255" w:lineRule="atLeast"/>
        <w:jc w:val="center"/>
        <w:textAlignment w:val="baseline"/>
        <w:rPr>
          <w:rFonts w:ascii="Arial" w:eastAsia="Times New Roman" w:hAnsi="Arial" w:cs="Arial"/>
          <w:color w:val="151515"/>
          <w:sz w:val="20"/>
          <w:szCs w:val="18"/>
        </w:rPr>
      </w:pPr>
      <w:r>
        <w:rPr>
          <w:rFonts w:ascii="Arial" w:eastAsia="Times New Roman" w:hAnsi="Arial" w:cs="Arial"/>
          <w:bCs/>
          <w:color w:val="151515"/>
          <w:sz w:val="20"/>
          <w:szCs w:val="18"/>
          <w:bdr w:val="none" w:sz="0" w:space="0" w:color="auto" w:frame="1"/>
        </w:rPr>
        <w:t>ako prevádzkovateľ, poskytuje za účelom dodržiavania spravodlivosti</w:t>
      </w:r>
    </w:p>
    <w:p w:rsidR="00EA7C4F"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 xml:space="preserve">a transparentnosti voči dotknutým osobám toto oboznámenie dotknutej osoby </w:t>
      </w:r>
    </w:p>
    <w:p w:rsidR="00EA7C4F"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EA7C4F"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pod názvom</w:t>
      </w:r>
    </w:p>
    <w:p w:rsidR="00EA7C4F" w:rsidRDefault="00EA7C4F"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p>
    <w:p w:rsidR="00EA7C4F" w:rsidRDefault="0032495B" w:rsidP="0032495B">
      <w:pPr>
        <w:spacing w:after="0" w:line="255" w:lineRule="atLeast"/>
        <w:jc w:val="center"/>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ZÁSADY OCHRANY OSOBNÝCH ÚDAJOV</w:t>
      </w:r>
    </w:p>
    <w:p w:rsidR="00EA7C4F" w:rsidRDefault="00EA7C4F" w:rsidP="0032495B">
      <w:pPr>
        <w:spacing w:after="0" w:line="255" w:lineRule="atLeast"/>
        <w:jc w:val="center"/>
        <w:textAlignment w:val="baseline"/>
        <w:rPr>
          <w:rFonts w:ascii="Arial" w:eastAsia="Times New Roman" w:hAnsi="Arial" w:cs="Arial"/>
          <w:color w:val="151515"/>
          <w:sz w:val="20"/>
          <w:szCs w:val="18"/>
        </w:rPr>
      </w:pP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účtovných a daňových dokladov:</w:t>
      </w: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pri spracovaní účtovných dokladov a agendy spojenej s jej spracovaním</w:t>
      </w: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klienti, zamestnanci</w:t>
      </w: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meno, priezvisko, titul, adresa trvalého pobytu, adresa prechodného pobytu, telefónne číslo, e-mailová adresa, dátum narodenia, druh a číslo dokladu totožnosti, podpis, číslo bankového účtu fyzickej osoby</w:t>
      </w:r>
    </w:p>
    <w:p w:rsidR="00EA7C4F" w:rsidRDefault="00B706E4" w:rsidP="00B706E4">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sociálna poisťovňa, zdravotné poisťovne, daňový úrad a subjekty, ktorým osobitný predpis zveruje právomoc rozhodovať o právach a povinnostiach fyzických osôb (napr. súdy) </w:t>
      </w: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10 rokov</w:t>
      </w:r>
    </w:p>
    <w:p w:rsidR="00EA7C4F" w:rsidRDefault="00B706E4" w:rsidP="00B706E4">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EA7C4F"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EA7C4F" w:rsidRDefault="00EA7C4F" w:rsidP="00500DEF">
      <w:pPr>
        <w:spacing w:after="0" w:line="255" w:lineRule="atLeast"/>
        <w:jc w:val="both"/>
        <w:textAlignment w:val="baseline"/>
        <w:rPr>
          <w:rFonts w:ascii="Arial" w:eastAsia="Times New Roman" w:hAnsi="Arial" w:cs="Arial"/>
          <w:color w:val="151515"/>
          <w:sz w:val="20"/>
          <w:szCs w:val="18"/>
        </w:rPr>
      </w:pPr>
    </w:p>
    <w:p w:rsidR="00FC6AFB" w:rsidRDefault="00FC6AFB" w:rsidP="00FC6AFB">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Účel spracúvania osobných údajov v evidencii uchádzačov o zamestnanie:</w:t>
      </w:r>
    </w:p>
    <w:p w:rsidR="00FC6AFB" w:rsidRDefault="00FC6AFB" w:rsidP="00FC6AFB">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V rámci činnosti dochádza ku spracúvaniu osobných údajov pri evidencii uchádzačov o zamestnanie</w:t>
      </w:r>
    </w:p>
    <w:p w:rsidR="00FC6AFB" w:rsidRDefault="00FC6AFB" w:rsidP="00FC6AFB">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bCs/>
          <w:color w:val="151515"/>
          <w:sz w:val="20"/>
          <w:szCs w:val="18"/>
          <w:bdr w:val="none" w:sz="0" w:space="0" w:color="auto" w:frame="1"/>
        </w:rPr>
        <w:t>Fyzické osoby – uchádzači o zamestnanie</w:t>
      </w:r>
    </w:p>
    <w:p w:rsidR="00FC6AFB" w:rsidRDefault="00FC6AFB" w:rsidP="00FC6AFB">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Zoznam osobných údajov: </w:t>
      </w:r>
      <w:r>
        <w:rPr>
          <w:rFonts w:ascii="Arial" w:eastAsia="Times New Roman" w:hAnsi="Arial" w:cs="Arial"/>
          <w:bCs/>
          <w:color w:val="151515"/>
          <w:sz w:val="20"/>
          <w:szCs w:val="18"/>
          <w:bdr w:val="none" w:sz="0" w:space="0" w:color="auto" w:frame="1"/>
        </w:rPr>
        <w:t>meno, priezvisko, titul, trvalý pobyt, prechodný pobyt, dátum narodenia, telefónne číslo, vzdelanie, prax, e-mailová adresa, ďalšie údaje v rozsahu životopisu, motivačného listu a žiadosti o zamestnanie</w:t>
      </w:r>
    </w:p>
    <w:p w:rsidR="00FC6AFB" w:rsidRDefault="00FC6AFB" w:rsidP="00FC6AFB">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bCs/>
          <w:color w:val="151515"/>
          <w:sz w:val="20"/>
          <w:szCs w:val="18"/>
          <w:bdr w:val="none" w:sz="0" w:space="0" w:color="auto" w:frame="1"/>
        </w:rPr>
        <w:t>Súhlas dotknutej osoby</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Kategórie príjemcov: </w:t>
      </w:r>
      <w:r>
        <w:rPr>
          <w:rFonts w:ascii="Arial" w:eastAsia="Times New Roman" w:hAnsi="Arial" w:cs="Arial"/>
          <w:color w:val="151515"/>
          <w:sz w:val="20"/>
          <w:szCs w:val="18"/>
        </w:rPr>
        <w:t>subjekty, ktorým osobitný predpis zveruje právomoc rozhodovať o právach a povinnostiach fyzických osôb (napr. súdy).</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r w:rsidRPr="00FC6AFB">
        <w:rPr>
          <w:rFonts w:ascii="Arial" w:eastAsia="Times New Roman" w:hAnsi="Arial" w:cs="Arial"/>
          <w:sz w:val="20"/>
          <w:szCs w:val="18"/>
        </w:rPr>
        <w:t xml:space="preserve">po dobu trvania súhlasu nie však dlhšie ako 1 rok </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Automatizované rozhodovanie vrátane profilovania sa neuskutočňuje.</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rsidR="00FC6AFB" w:rsidRDefault="00FC6AFB" w:rsidP="00500DEF">
      <w:pPr>
        <w:spacing w:after="0" w:line="255" w:lineRule="atLeast"/>
        <w:jc w:val="both"/>
        <w:textAlignment w:val="baseline"/>
        <w:rPr>
          <w:rFonts w:ascii="Arial" w:eastAsia="Times New Roman" w:hAnsi="Arial" w:cs="Arial"/>
          <w:color w:val="151515"/>
          <w:sz w:val="20"/>
          <w:szCs w:val="18"/>
        </w:rPr>
      </w:pPr>
    </w:p>
    <w:p w:rsidR="00FC6AFB" w:rsidRDefault="00FC6AFB" w:rsidP="00500DEF">
      <w:pPr>
        <w:spacing w:after="0" w:line="255" w:lineRule="atLeast"/>
        <w:jc w:val="both"/>
        <w:textAlignment w:val="baseline"/>
        <w:rPr>
          <w:rFonts w:ascii="Arial" w:eastAsia="Times New Roman" w:hAnsi="Arial" w:cs="Arial"/>
          <w:color w:val="151515"/>
          <w:sz w:val="20"/>
          <w:szCs w:val="18"/>
        </w:rPr>
      </w:pPr>
    </w:p>
    <w:p w:rsidR="00FC6AFB" w:rsidRDefault="00FC6AFB" w:rsidP="00FC6AFB">
      <w:pPr>
        <w:pStyle w:val="Bezmezer"/>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spracúvania osobných údajov v evidencii pacientov</w:t>
      </w:r>
    </w:p>
    <w:p w:rsidR="00FC6AFB" w:rsidRDefault="00FC6AFB" w:rsidP="00FC6AFB">
      <w:pPr>
        <w:pStyle w:val="Bezmezer"/>
        <w:rPr>
          <w:rFonts w:ascii="Arial" w:hAnsi="Arial" w:cs="Arial"/>
          <w:color w:val="000000" w:themeColor="text1"/>
          <w:sz w:val="20"/>
          <w:szCs w:val="20"/>
          <w:shd w:val="clear" w:color="auto" w:fill="FFFFFF"/>
        </w:rPr>
      </w:pPr>
      <w:r>
        <w:rPr>
          <w:rFonts w:ascii="Arial" w:eastAsia="Times New Roman" w:hAnsi="Arial" w:cs="Arial"/>
          <w:bCs/>
          <w:color w:val="151515"/>
          <w:sz w:val="20"/>
          <w:szCs w:val="20"/>
          <w:bdr w:val="none" w:sz="0" w:space="0" w:color="auto" w:frame="1"/>
        </w:rPr>
        <w:t xml:space="preserve">V rámci činností dochádza k spracúvaniu osobných údajov </w:t>
      </w:r>
      <w:r>
        <w:rPr>
          <w:rFonts w:ascii="Arial" w:hAnsi="Arial" w:cs="Arial"/>
          <w:color w:val="000000" w:themeColor="text1"/>
          <w:sz w:val="20"/>
          <w:szCs w:val="20"/>
          <w:shd w:val="clear" w:color="auto" w:fill="FFFFFF"/>
        </w:rPr>
        <w:t>pri poskytovaní primárnej liečebno-preventívnej starostlivosti.  V sekundárnej starostlivosti sa jedná o poskytovanie odbornej ambulantnej a ústavnej starostlivosti. V následnej starostlivosti sa vykonáva poskytovanie doplňujúcich odborných zdravotníckych služieb vrátane rehabilitačnej starostlivosti, poskytovanie liekov, liečebných a ortopedických pomôcok a iných zdravotníckych potrieb v rozsahu uvedenom v zozname liečiv.</w:t>
      </w:r>
    </w:p>
    <w:p w:rsidR="00FC6AFB" w:rsidRDefault="00FC6AFB" w:rsidP="00FC6AFB">
      <w:pPr>
        <w:pStyle w:val="Bezmezer"/>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Okruh dotknutých osôb:</w:t>
      </w:r>
      <w:r>
        <w:rPr>
          <w:rFonts w:ascii="Arial" w:eastAsia="Times New Roman" w:hAnsi="Arial" w:cs="Arial"/>
          <w:bCs/>
          <w:color w:val="151515"/>
          <w:sz w:val="20"/>
          <w:szCs w:val="20"/>
          <w:bdr w:val="none" w:sz="0" w:space="0" w:color="auto" w:frame="1"/>
        </w:rPr>
        <w:t xml:space="preserve"> osoby vyšetrované a hospitalizované a liečené v zdravotníckom zariadení prevádzkovateľa, blízke osoby pacientov</w:t>
      </w:r>
    </w:p>
    <w:p w:rsidR="00FC6AFB" w:rsidRDefault="00FC6AFB" w:rsidP="00FC6AFB">
      <w:pPr>
        <w:pStyle w:val="Bezmezer"/>
        <w:rPr>
          <w:rFonts w:ascii="Arial" w:hAnsi="Arial" w:cs="Arial"/>
          <w:sz w:val="20"/>
          <w:szCs w:val="20"/>
        </w:rPr>
      </w:pPr>
      <w:r>
        <w:rPr>
          <w:rFonts w:ascii="Arial" w:hAnsi="Arial" w:cs="Arial"/>
          <w:b/>
          <w:sz w:val="20"/>
          <w:szCs w:val="20"/>
        </w:rPr>
        <w:t xml:space="preserve">Zoznam osobných údajov: </w:t>
      </w:r>
      <w:r>
        <w:rPr>
          <w:rFonts w:ascii="Arial" w:hAnsi="Arial" w:cs="Arial"/>
          <w:sz w:val="20"/>
          <w:szCs w:val="20"/>
        </w:rPr>
        <w:t xml:space="preserve">meno, priezvisko, titul, adresa, dátum narodenia, rodné číslo, telefónne číslo, zdravotná poisťovňa, </w:t>
      </w:r>
      <w:proofErr w:type="spellStart"/>
      <w:r>
        <w:rPr>
          <w:rFonts w:ascii="Arial" w:hAnsi="Arial" w:cs="Arial"/>
          <w:sz w:val="20"/>
          <w:szCs w:val="20"/>
        </w:rPr>
        <w:t>dekurz</w:t>
      </w:r>
      <w:proofErr w:type="spellEnd"/>
      <w:r>
        <w:rPr>
          <w:rFonts w:ascii="Arial" w:hAnsi="Arial" w:cs="Arial"/>
          <w:sz w:val="20"/>
          <w:szCs w:val="20"/>
        </w:rPr>
        <w:t xml:space="preserve"> – informácie o zdravotnom stave pacienta, meno, priezvisko a telefónne číslo blízkej osoby pacienta</w:t>
      </w:r>
    </w:p>
    <w:p w:rsidR="00FC6AFB" w:rsidRDefault="00FC6AFB" w:rsidP="00FC6AFB">
      <w:pPr>
        <w:pStyle w:val="Bezmezer"/>
        <w:rPr>
          <w:rFonts w:ascii="Arial" w:hAnsi="Arial" w:cs="Arial"/>
          <w:sz w:val="20"/>
          <w:szCs w:val="20"/>
        </w:rPr>
      </w:pPr>
      <w:r>
        <w:rPr>
          <w:rFonts w:ascii="Arial" w:hAnsi="Arial" w:cs="Arial"/>
          <w:b/>
          <w:sz w:val="20"/>
          <w:szCs w:val="20"/>
        </w:rPr>
        <w:t xml:space="preserve">Právny základ spracúvania osobných údajov: </w:t>
      </w:r>
      <w:r>
        <w:rPr>
          <w:rFonts w:ascii="Arial" w:hAnsi="Arial" w:cs="Arial"/>
          <w:color w:val="000000" w:themeColor="text1"/>
          <w:sz w:val="20"/>
          <w:szCs w:val="20"/>
          <w:shd w:val="clear" w:color="auto" w:fill="FFFFFF"/>
        </w:rPr>
        <w:t xml:space="preserve">Spracúvanie osobných údajov je povolené Ústavou SR č. 460/1992 Zb., zákonom NR SR č. 576/2004 Z. z. o poskytovaní zdravotnej starostlivosti v znení neskorších predpisov. Vyhláška č. 101/2018 Z. z. Vyhláška Ministerstva zdravotníctva Slovenskej republiky, ktorou sa ustanovujú podrobnosti o zabezpečení radiačnej ochrany pri vykonávaní lekárskeho ožiarenia, Vyhláška č. 99/2018 Z. z. Vyhláška Ministerstva zdravotníctva Slovenskej </w:t>
      </w:r>
      <w:r>
        <w:rPr>
          <w:rFonts w:ascii="Arial" w:hAnsi="Arial" w:cs="Arial"/>
          <w:color w:val="000000" w:themeColor="text1"/>
          <w:sz w:val="20"/>
          <w:szCs w:val="20"/>
          <w:shd w:val="clear" w:color="auto" w:fill="FFFFFF"/>
        </w:rPr>
        <w:lastRenderedPageBreak/>
        <w:t>republiky o zabezpečení radiačnej ochrany. Zákon Slovenskej národnej rady č. 73/1986 Zb. o umelom prerušení tehotenstva, 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Zákon č. 577/2004 Z. z. o rozsahu zdravotnej starostlivosti uhrádzanej na základe verejného zdravotného poistenia a o úhradách za služby súvisiace s poskytovaním zdravotnej starostlivosti, Zákon č. 578/2004 Z. z. o poskytovateľoch zdravotnej starostlivosti, zdravotníckych pracovníkoch, stavovských organizáciách v zdravotníctve a o zmene a doplnení niektorých zákonov, Zákon č. 579/2004 Z. z. o záchrannej zdravotnej službe a o zmene a doplnení niektorých zákonov, Zákon č. 580/2004 Z. z. o zdravotnom poistení a o zmene a doplnení zákona č. 95/2002 Z. z. o poisťovníctve a o zmene a doplnení niektorých zákonov (v znení zákona č. 718/2004 Z. z.), Zákon č. 581/2004 Z. z. o zdravotných poisťovniach, dohľade nad zdravotnou starostlivosťou a o zmene a doplnení niektorých zákonov, Zákon č. 355/2007 Z. z. o ochrane, podpore a rozvoji verejného zdravia a o zmene a doplnení niektorých zákonov, Zákon č. 131/2010 Z. z. o pohrebníctve, Zákon č. 362/2011 Z. z. o liekoch a zdravotníckych pomôckach a o zmene a doplnení niektorých zákonov, Zákon č. 153/2013 Z. z. o národnom zdravotníckom informačnom systéme a o zmene a doplnení niektorých zákonov.</w:t>
      </w:r>
    </w:p>
    <w:p w:rsidR="00FC6AFB" w:rsidRDefault="00FC6AFB" w:rsidP="00FC6AFB">
      <w:pPr>
        <w:pStyle w:val="Bezmezer"/>
        <w:rPr>
          <w:rFonts w:ascii="Arial" w:hAnsi="Arial" w:cs="Arial"/>
          <w:sz w:val="20"/>
          <w:szCs w:val="20"/>
        </w:rPr>
      </w:pPr>
      <w:r>
        <w:rPr>
          <w:rFonts w:ascii="Arial" w:hAnsi="Arial" w:cs="Arial"/>
          <w:b/>
          <w:sz w:val="20"/>
          <w:szCs w:val="20"/>
        </w:rPr>
        <w:t xml:space="preserve">Kategórie príjemcov: </w:t>
      </w:r>
      <w:r>
        <w:rPr>
          <w:rFonts w:ascii="Arial" w:hAnsi="Arial" w:cs="Arial"/>
          <w:sz w:val="20"/>
          <w:szCs w:val="20"/>
        </w:rPr>
        <w:t xml:space="preserve">Zdravotné poisťovne - Zákon č. 580/2004 Z. z. o zdravotnom poistení a o zmene a doplnení zákona č. 95/2002 Z. z. o poisťovníctve a o zmene a doplnení niektorých zákonov,    Iný poskytovatelia zdravotnej starostlivosti - Zákon č. 576/2004 </w:t>
      </w:r>
      <w:proofErr w:type="spellStart"/>
      <w:r>
        <w:rPr>
          <w:rFonts w:ascii="Arial" w:hAnsi="Arial" w:cs="Arial"/>
          <w:sz w:val="20"/>
          <w:szCs w:val="20"/>
        </w:rPr>
        <w:t>Z.z</w:t>
      </w:r>
      <w:proofErr w:type="spellEnd"/>
      <w:r>
        <w:rPr>
          <w:rFonts w:ascii="Arial" w:hAnsi="Arial" w:cs="Arial"/>
          <w:sz w:val="20"/>
          <w:szCs w:val="20"/>
        </w:rPr>
        <w:t xml:space="preserve">. o zdravotnej starostlivosti, službách súvisiacich s poskytovaním zdravotnej starostlivosti a o zmene a doplnení, Národné centrum zdravotníckych informácií - Zákon č. 576/2004 </w:t>
      </w:r>
      <w:proofErr w:type="spellStart"/>
      <w:r>
        <w:rPr>
          <w:rFonts w:ascii="Arial" w:hAnsi="Arial" w:cs="Arial"/>
          <w:sz w:val="20"/>
          <w:szCs w:val="20"/>
        </w:rPr>
        <w:t>Z.z</w:t>
      </w:r>
      <w:proofErr w:type="spellEnd"/>
      <w:r>
        <w:rPr>
          <w:rFonts w:ascii="Arial" w:hAnsi="Arial" w:cs="Arial"/>
          <w:sz w:val="20"/>
          <w:szCs w:val="20"/>
        </w:rPr>
        <w:t xml:space="preserve">. o zdravotnej starostlivosti, službách súvisiacich s poskytovaním zdravotnej starostlivosti a o zmene a doplnení, Matričné úrady - Zákon č. 14/2016 </w:t>
      </w:r>
      <w:proofErr w:type="spellStart"/>
      <w:r>
        <w:rPr>
          <w:rFonts w:ascii="Arial" w:hAnsi="Arial" w:cs="Arial"/>
          <w:sz w:val="20"/>
          <w:szCs w:val="20"/>
        </w:rPr>
        <w:t>Z.z</w:t>
      </w:r>
      <w:proofErr w:type="spellEnd"/>
      <w:r>
        <w:rPr>
          <w:rFonts w:ascii="Arial" w:hAnsi="Arial" w:cs="Arial"/>
          <w:sz w:val="20"/>
          <w:szCs w:val="20"/>
        </w:rPr>
        <w:t xml:space="preserve">. o matrikách, Firmy vykonávajúce pohrebné služby - Zákon č. 131/2010 </w:t>
      </w:r>
      <w:proofErr w:type="spellStart"/>
      <w:r>
        <w:rPr>
          <w:rFonts w:ascii="Arial" w:hAnsi="Arial" w:cs="Arial"/>
          <w:sz w:val="20"/>
          <w:szCs w:val="20"/>
        </w:rPr>
        <w:t>Z.z</w:t>
      </w:r>
      <w:proofErr w:type="spellEnd"/>
      <w:r>
        <w:rPr>
          <w:rFonts w:ascii="Arial" w:hAnsi="Arial" w:cs="Arial"/>
          <w:sz w:val="20"/>
          <w:szCs w:val="20"/>
        </w:rPr>
        <w:t xml:space="preserve">. o pohrebníctve,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FC6AFB" w:rsidRDefault="00FC6AFB" w:rsidP="00FC6AFB">
      <w:pPr>
        <w:pStyle w:val="Bezmezer"/>
        <w:rPr>
          <w:rFonts w:ascii="Arial" w:hAnsi="Arial" w:cs="Arial"/>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FC6AFB" w:rsidRDefault="00FC6AFB" w:rsidP="00FC6AFB">
      <w:pPr>
        <w:pStyle w:val="Bezmezer"/>
        <w:rPr>
          <w:rFonts w:ascii="Arial" w:hAnsi="Arial" w:cs="Arial"/>
          <w:color w:val="666666"/>
          <w:sz w:val="20"/>
          <w:szCs w:val="20"/>
          <w:shd w:val="clear" w:color="auto" w:fill="FFFFFF"/>
        </w:rPr>
      </w:pPr>
      <w:r>
        <w:rPr>
          <w:rFonts w:ascii="Arial" w:eastAsia="Times New Roman" w:hAnsi="Arial" w:cs="Arial"/>
          <w:b/>
          <w:bCs/>
          <w:color w:val="151515"/>
          <w:sz w:val="20"/>
          <w:szCs w:val="20"/>
          <w:bdr w:val="none" w:sz="0" w:space="0" w:color="auto" w:frame="1"/>
        </w:rPr>
        <w:t xml:space="preserve">Archivácia osobných údajov: </w:t>
      </w:r>
      <w:r>
        <w:rPr>
          <w:rFonts w:ascii="Arial" w:hAnsi="Arial" w:cs="Arial"/>
          <w:sz w:val="20"/>
          <w:szCs w:val="20"/>
          <w:shd w:val="clear" w:color="auto" w:fill="FFFFFF"/>
        </w:rPr>
        <w:t>20 rokov od posledného poskytnutia zdravotnej starostlivosti.</w:t>
      </w:r>
    </w:p>
    <w:p w:rsidR="00FC6AFB" w:rsidRDefault="00FC6AFB" w:rsidP="00FC6AF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FC6AFB" w:rsidRDefault="00FC6AFB" w:rsidP="00500DEF">
      <w:pPr>
        <w:spacing w:after="0" w:line="255" w:lineRule="atLeast"/>
        <w:jc w:val="both"/>
        <w:textAlignment w:val="baseline"/>
        <w:rPr>
          <w:rFonts w:ascii="Arial" w:eastAsia="Times New Roman" w:hAnsi="Arial" w:cs="Arial"/>
          <w:color w:val="151515"/>
          <w:sz w:val="20"/>
          <w:szCs w:val="18"/>
        </w:rPr>
      </w:pPr>
    </w:p>
    <w:p w:rsidR="00FC6AFB" w:rsidRDefault="00FC6AFB" w:rsidP="00500DEF">
      <w:pPr>
        <w:spacing w:after="0" w:line="255" w:lineRule="atLeast"/>
        <w:jc w:val="both"/>
        <w:textAlignment w:val="baseline"/>
        <w:rPr>
          <w:rFonts w:ascii="Arial" w:eastAsia="Times New Roman" w:hAnsi="Arial" w:cs="Arial"/>
          <w:color w:val="151515"/>
          <w:sz w:val="20"/>
          <w:szCs w:val="18"/>
        </w:rPr>
      </w:pP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meno, priezvisko, titul, trvalý/prechodný pobyt, číslo účtu fyzickej osoby, názov banky, číslo občianskeho preukazu, údaje týkajúce sa predmetu zmluvy</w:t>
      </w:r>
    </w:p>
    <w:p w:rsidR="00FC6AFB" w:rsidRDefault="00FC6AFB" w:rsidP="00FC6AFB">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rsidR="00FC6AFB" w:rsidRDefault="00FC6AFB" w:rsidP="00FC6AFB">
      <w:pPr>
        <w:spacing w:after="0" w:line="255" w:lineRule="atLeast"/>
        <w:jc w:val="both"/>
        <w:textAlignment w:val="baseline"/>
        <w:rPr>
          <w:rFonts w:ascii="Arial" w:eastAsia="Times New Roman" w:hAnsi="Arial" w:cs="Arial"/>
          <w:color w:val="FF0000"/>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subjekty, ktorým osobitný predpis zveruje právomoc rozhodovať o právach a povinnostiach fyzických osôb (napr. súdy) </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r>
        <w:rPr>
          <w:rFonts w:ascii="Arial" w:eastAsia="Times New Roman" w:hAnsi="Arial" w:cs="Arial"/>
          <w:sz w:val="20"/>
          <w:szCs w:val="18"/>
        </w:rPr>
        <w:t>10</w:t>
      </w:r>
      <w:r>
        <w:rPr>
          <w:rFonts w:ascii="Arial" w:eastAsia="Times New Roman" w:hAnsi="Arial" w:cs="Arial"/>
          <w:color w:val="151515"/>
          <w:sz w:val="20"/>
          <w:szCs w:val="18"/>
        </w:rPr>
        <w:t xml:space="preserve"> rokov</w:t>
      </w:r>
    </w:p>
    <w:p w:rsidR="00FC6AFB" w:rsidRDefault="00FC6AFB" w:rsidP="00FC6AFB">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FC6AFB" w:rsidRDefault="00FC6AFB" w:rsidP="00500DEF">
      <w:pPr>
        <w:spacing w:after="0" w:line="255" w:lineRule="atLeast"/>
        <w:jc w:val="both"/>
        <w:textAlignment w:val="baseline"/>
        <w:rPr>
          <w:rFonts w:ascii="Arial" w:eastAsia="Times New Roman" w:hAnsi="Arial" w:cs="Arial"/>
          <w:color w:val="151515"/>
          <w:sz w:val="20"/>
          <w:szCs w:val="18"/>
        </w:rPr>
      </w:pPr>
    </w:p>
    <w:p w:rsidR="00FC6AFB" w:rsidRDefault="00FC6AFB" w:rsidP="00500DEF">
      <w:pPr>
        <w:spacing w:after="0" w:line="255" w:lineRule="atLeast"/>
        <w:jc w:val="both"/>
        <w:textAlignment w:val="baseline"/>
        <w:rPr>
          <w:rFonts w:ascii="Arial" w:eastAsia="Times New Roman" w:hAnsi="Arial" w:cs="Arial"/>
          <w:color w:val="151515"/>
          <w:sz w:val="20"/>
          <w:szCs w:val="18"/>
        </w:rPr>
      </w:pP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došlej a odoslanej pošty a v správe registratúry:</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pri evidencii došlej a odoslanej posty a úkony spojené so správou registratúry</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adresáti, zamestnanci</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rodné číslo, meno, priezvisko, titul, adresa, názov organizácie, pracovné zaradenie, e-mailová adresa, predmet a obsah pošty</w:t>
      </w:r>
    </w:p>
    <w:p w:rsidR="00FC6AFB" w:rsidRDefault="00FC6AFB" w:rsidP="00FC6AFB">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Zákon č. 395/2002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archívoch a registratúrach a o doplnení niektorých zákonov v znení neskorších predpisov, Zákon č. 305/2013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elektronickej </w:t>
      </w:r>
      <w:r>
        <w:rPr>
          <w:rFonts w:ascii="Arial" w:eastAsia="Times New Roman" w:hAnsi="Arial" w:cs="Arial"/>
          <w:color w:val="151515"/>
          <w:sz w:val="20"/>
          <w:szCs w:val="18"/>
        </w:rPr>
        <w:lastRenderedPageBreak/>
        <w:t xml:space="preserve">podobe výkonu pôsobnosti orgánov verejnej moci a o zmene a doplnení niektorých zákonov ( zákon o </w:t>
      </w:r>
      <w:proofErr w:type="spellStart"/>
      <w:r>
        <w:rPr>
          <w:rFonts w:ascii="Arial" w:eastAsia="Times New Roman" w:hAnsi="Arial" w:cs="Arial"/>
          <w:color w:val="151515"/>
          <w:sz w:val="20"/>
          <w:szCs w:val="18"/>
        </w:rPr>
        <w:t>e-Governmente</w:t>
      </w:r>
      <w:proofErr w:type="spellEnd"/>
      <w:r>
        <w:rPr>
          <w:rFonts w:ascii="Arial" w:eastAsia="Times New Roman" w:hAnsi="Arial" w:cs="Arial"/>
          <w:color w:val="151515"/>
          <w:sz w:val="20"/>
          <w:szCs w:val="18"/>
        </w:rPr>
        <w:t>)</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subjekty, ktorým osobitný predpis zveruje právomoc rozhodovať o právach a povinnostiach fyzických osôb (napr. súdy).</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bežná korešpondencia – 3 roky, registratúrny denník </w:t>
      </w:r>
      <w:r>
        <w:rPr>
          <w:rFonts w:ascii="Arial" w:eastAsia="Times New Roman" w:hAnsi="Arial" w:cs="Arial"/>
          <w:sz w:val="20"/>
          <w:szCs w:val="18"/>
        </w:rPr>
        <w:t>10</w:t>
      </w:r>
      <w:r>
        <w:rPr>
          <w:rFonts w:ascii="Arial" w:eastAsia="Times New Roman" w:hAnsi="Arial" w:cs="Arial"/>
          <w:color w:val="151515"/>
          <w:sz w:val="20"/>
          <w:szCs w:val="18"/>
        </w:rPr>
        <w:t xml:space="preserve"> rokov</w:t>
      </w:r>
    </w:p>
    <w:p w:rsidR="00FC6AFB" w:rsidRDefault="00FC6AFB" w:rsidP="00FC6AFB">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FC6AFB" w:rsidRDefault="00FC6AFB" w:rsidP="00FC6AF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FC6AFB" w:rsidRDefault="00FC6AFB" w:rsidP="00FC6AFB">
      <w:pPr>
        <w:spacing w:after="0" w:line="255" w:lineRule="atLeast"/>
        <w:jc w:val="both"/>
        <w:textAlignment w:val="baseline"/>
        <w:rPr>
          <w:rFonts w:ascii="Arial" w:eastAsia="Times New Roman" w:hAnsi="Arial" w:cs="Arial"/>
          <w:color w:val="151515"/>
          <w:sz w:val="20"/>
          <w:szCs w:val="18"/>
        </w:rPr>
      </w:pPr>
    </w:p>
    <w:p w:rsidR="00FC6AFB" w:rsidRDefault="00FC6AFB" w:rsidP="00500DEF">
      <w:pPr>
        <w:spacing w:after="0" w:line="255" w:lineRule="atLeast"/>
        <w:jc w:val="both"/>
        <w:textAlignment w:val="baseline"/>
        <w:rPr>
          <w:rFonts w:ascii="Arial" w:eastAsia="Times New Roman" w:hAnsi="Arial" w:cs="Arial"/>
          <w:color w:val="151515"/>
          <w:sz w:val="20"/>
          <w:szCs w:val="18"/>
        </w:rPr>
      </w:pPr>
    </w:p>
    <w:p w:rsidR="00EA7C4F"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Dotknuté osoby, o ktorých sú spracúvané osobné údaje pre konkrétne vymedzené účely, si môžu uplatniť nasledovné práva:</w:t>
      </w:r>
    </w:p>
    <w:p w:rsidR="00EA7C4F"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EA7C4F"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EA7C4F" w:rsidRDefault="00EA7C4F" w:rsidP="0032495B">
      <w:pPr>
        <w:spacing w:after="0" w:line="255" w:lineRule="atLeast"/>
        <w:jc w:val="both"/>
        <w:textAlignment w:val="baseline"/>
        <w:rPr>
          <w:rFonts w:ascii="Arial" w:eastAsia="Times New Roman" w:hAnsi="Arial" w:cs="Arial"/>
          <w:color w:val="151515"/>
          <w:sz w:val="20"/>
          <w:szCs w:val="18"/>
        </w:rPr>
      </w:pPr>
    </w:p>
    <w:p w:rsidR="00EA7C4F" w:rsidRDefault="005364D1" w:rsidP="0032495B">
      <w:pPr>
        <w:spacing w:after="0" w:line="255" w:lineRule="atLeast"/>
        <w:jc w:val="both"/>
        <w:textAlignment w:val="baseline"/>
        <w:rPr>
          <w:rFonts w:ascii="Arial" w:eastAsia="Times New Roman" w:hAnsi="Arial" w:cs="Arial"/>
          <w:color w:val="151515"/>
          <w:sz w:val="20"/>
          <w:szCs w:val="18"/>
        </w:rPr>
      </w:pPr>
      <w:r>
        <w:rPr>
          <w:b/>
          <w:sz w:val="24"/>
        </w:rPr>
        <w:t>Poliklinika Veľké Kapušany n. o.</w:t>
      </w:r>
      <w:r>
        <w:rPr>
          <w:rFonts w:ascii="Arial" w:eastAsia="Times New Roman" w:hAnsi="Arial" w:cs="Arial"/>
          <w:color w:val="151515"/>
          <w:sz w:val="20"/>
          <w:szCs w:val="18"/>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EA7C4F"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EA7C4F" w:rsidRDefault="00EA7C4F" w:rsidP="0032495B">
      <w:pPr>
        <w:spacing w:after="0" w:line="255" w:lineRule="atLeast"/>
        <w:jc w:val="both"/>
        <w:textAlignment w:val="baseline"/>
        <w:rPr>
          <w:rFonts w:ascii="Arial" w:eastAsia="Times New Roman" w:hAnsi="Arial" w:cs="Arial"/>
          <w:color w:val="151515"/>
          <w:sz w:val="20"/>
          <w:szCs w:val="18"/>
        </w:rPr>
      </w:pPr>
    </w:p>
    <w:p w:rsidR="00EA7C4F" w:rsidRDefault="00EA7C4F" w:rsidP="002D5955">
      <w:pPr>
        <w:spacing w:after="0" w:line="255" w:lineRule="atLeast"/>
        <w:jc w:val="both"/>
        <w:textAlignment w:val="baseline"/>
        <w:rPr>
          <w:rFonts w:ascii="Arial" w:eastAsia="Times New Roman" w:hAnsi="Arial" w:cs="Arial"/>
          <w:color w:val="151515"/>
          <w:sz w:val="20"/>
          <w:szCs w:val="18"/>
        </w:rPr>
      </w:pPr>
      <w:bookmarkStart w:id="0" w:name="_GoBack"/>
      <w:bookmarkEnd w:id="0"/>
    </w:p>
    <w:p w:rsidR="00EA7C4F" w:rsidRDefault="002D5955" w:rsidP="002D5955">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Ak chcete podať sťažnosť na spôsob, akým sú vaše osobné údaje spracúvané, vrátane uplatnenia vyššie uvedených práv, môžete sa obrátiť na našu Zodpovednú osobu poskytovanú spoločnosťou EuroTRAD</w:t>
      </w:r>
      <w:r w:rsidR="007207B1">
        <w:rPr>
          <w:rFonts w:ascii="Arial" w:eastAsia="Times New Roman" w:hAnsi="Arial" w:cs="Arial"/>
          <w:color w:val="151515"/>
          <w:sz w:val="20"/>
          <w:szCs w:val="18"/>
        </w:rPr>
        <w:t>ING s.r.o. (www.eurotrading.sk)</w:t>
      </w:r>
      <w:r>
        <w:rPr>
          <w:rFonts w:ascii="Arial" w:eastAsia="Times New Roman" w:hAnsi="Arial" w:cs="Arial"/>
          <w:color w:val="151515"/>
          <w:sz w:val="20"/>
          <w:szCs w:val="18"/>
        </w:rPr>
        <w:t xml:space="preserve"> emailom na  zo@eurotrading.sk.  Všetky vaše podnety a sťažnosti riadne preveríme.</w:t>
      </w:r>
    </w:p>
    <w:p w:rsidR="00EA7C4F" w:rsidRDefault="00EA7C4F" w:rsidP="002D5955">
      <w:pPr>
        <w:spacing w:after="0" w:line="255" w:lineRule="atLeast"/>
        <w:jc w:val="both"/>
        <w:textAlignment w:val="baseline"/>
        <w:rPr>
          <w:rFonts w:ascii="Arial" w:eastAsia="Times New Roman" w:hAnsi="Arial" w:cs="Arial"/>
          <w:color w:val="151515"/>
          <w:sz w:val="20"/>
          <w:szCs w:val="18"/>
        </w:rPr>
      </w:pPr>
    </w:p>
    <w:p w:rsidR="00EA7C4F" w:rsidRDefault="002D5955" w:rsidP="002D5955">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EA7C4F"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B"/>
    <w:rsid w:val="002D5955"/>
    <w:rsid w:val="0032495B"/>
    <w:rsid w:val="004906CB"/>
    <w:rsid w:val="00500DEF"/>
    <w:rsid w:val="005364D1"/>
    <w:rsid w:val="005637AE"/>
    <w:rsid w:val="006948D9"/>
    <w:rsid w:val="007207B1"/>
    <w:rsid w:val="008A5F6D"/>
    <w:rsid w:val="008D3F99"/>
    <w:rsid w:val="009C5FAE"/>
    <w:rsid w:val="00AC0D48"/>
    <w:rsid w:val="00B706E4"/>
    <w:rsid w:val="00C87773"/>
    <w:rsid w:val="00DB03A4"/>
    <w:rsid w:val="00EA7C4F"/>
    <w:rsid w:val="00F7142B"/>
    <w:rsid w:val="00FC6A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9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14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9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1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5000">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1260794851">
      <w:bodyDiv w:val="1"/>
      <w:marLeft w:val="0"/>
      <w:marRight w:val="0"/>
      <w:marTop w:val="0"/>
      <w:marBottom w:val="0"/>
      <w:divBdr>
        <w:top w:val="none" w:sz="0" w:space="0" w:color="auto"/>
        <w:left w:val="none" w:sz="0" w:space="0" w:color="auto"/>
        <w:bottom w:val="none" w:sz="0" w:space="0" w:color="auto"/>
        <w:right w:val="none" w:sz="0" w:space="0" w:color="auto"/>
      </w:divBdr>
    </w:div>
    <w:div w:id="1311209593">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 w:id="1940067500">
      <w:bodyDiv w:val="1"/>
      <w:marLeft w:val="0"/>
      <w:marRight w:val="0"/>
      <w:marTop w:val="0"/>
      <w:marBottom w:val="0"/>
      <w:divBdr>
        <w:top w:val="none" w:sz="0" w:space="0" w:color="auto"/>
        <w:left w:val="none" w:sz="0" w:space="0" w:color="auto"/>
        <w:bottom w:val="none" w:sz="0" w:space="0" w:color="auto"/>
        <w:right w:val="none" w:sz="0" w:space="0" w:color="auto"/>
      </w:divBdr>
    </w:div>
    <w:div w:id="20632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1958</Words>
  <Characters>11164</Characters>
  <Application>Microsoft Office Word</Application>
  <DocSecurity>0</DocSecurity>
  <Lines>93</Lines>
  <Paragraphs>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Mirka</cp:lastModifiedBy>
  <cp:revision>2</cp:revision>
  <dcterms:created xsi:type="dcterms:W3CDTF">2018-12-19T12:56:00Z</dcterms:created>
  <dcterms:modified xsi:type="dcterms:W3CDTF">2018-12-19T12:56:00Z</dcterms:modified>
</cp:coreProperties>
</file>